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30B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国标楷体" w:hAnsi="国标楷体" w:eastAsia="国标楷体" w:cs="国标楷体"/>
          <w:sz w:val="30"/>
          <w:szCs w:val="30"/>
          <w:lang w:eastAsia="zh-CN"/>
        </w:rPr>
        <w:t>附件</w:t>
      </w:r>
      <w:r>
        <w:rPr>
          <w:rFonts w:hint="eastAsia" w:ascii="国标楷体" w:hAnsi="国标楷体" w:eastAsia="国标楷体" w:cs="国标楷体"/>
          <w:sz w:val="30"/>
          <w:szCs w:val="30"/>
          <w:lang w:val="en-US" w:eastAsia="zh-CN"/>
        </w:rPr>
        <w:t>1：</w:t>
      </w:r>
    </w:p>
    <w:p w14:paraId="2B0DA2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上海市青浦区职业学校</w:t>
      </w:r>
    </w:p>
    <w:p w14:paraId="3D3C69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深化新时代学校体育工作高质量发展工作方案</w:t>
      </w:r>
    </w:p>
    <w:p w14:paraId="4E640E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lang w:eastAsia="zh-CN"/>
        </w:rPr>
      </w:pPr>
    </w:p>
    <w:p w14:paraId="34DEF3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为全面贯彻《教育强国建设规划纲要（2024-2035年）》和全国教育大会、上海教育大会精神，落实《深化新时代中小学体育工作高质量发展的若干措施》（简称《沪九条》）文件要求，坚持“健康第一”的指导思想和“为了每一个孩子的终身发展”的核心理念，落实立德树人根本任务，以体育人促进青少年全面健康发展，按照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2026新学年作息时间安排要求，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现就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上海市青浦区职业学校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全面落实学生每天综合体育活动2小时工作修订工作方案如下。</w:t>
      </w:r>
    </w:p>
    <w:p w14:paraId="2D8AA7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标准粗黑" w:hAnsi="标准粗黑" w:eastAsia="标准粗黑" w:cs="标准粗黑"/>
          <w:sz w:val="32"/>
          <w:szCs w:val="32"/>
          <w:lang w:eastAsia="zh-CN"/>
        </w:rPr>
      </w:pPr>
      <w:r>
        <w:rPr>
          <w:rFonts w:hint="eastAsia" w:ascii="标准粗黑" w:hAnsi="标准粗黑" w:eastAsia="标准粗黑" w:cs="标准粗黑"/>
          <w:sz w:val="32"/>
          <w:szCs w:val="32"/>
          <w:lang w:eastAsia="zh-CN"/>
        </w:rPr>
        <w:t>一、工作目标</w:t>
      </w:r>
    </w:p>
    <w:p w14:paraId="792257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（一）总目标</w:t>
      </w:r>
    </w:p>
    <w:p w14:paraId="6CACE5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学校充分保障课堂内外运动时间，高效利用校内有限场域，创意打造全新体育运动场景和模式，激发学生参与体育运动的积极性和主动性，确保学生每天综合体育活动时间不少于2小时，全面提升学生体质健康水平和体育素养，培养终身运动的良好习惯。</w:t>
      </w:r>
    </w:p>
    <w:p w14:paraId="2684A1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（二）具体目标</w:t>
      </w:r>
    </w:p>
    <w:p w14:paraId="1B7107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1.学生每日在校体育锻炼时间不少于2小时；</w:t>
      </w:r>
    </w:p>
    <w:p w14:paraId="2C0247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2.学生体质健康优良率达到65%以上；</w:t>
      </w:r>
    </w:p>
    <w:p w14:paraId="4C60B0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3.依托乐动比赛日、大课间等活动载体，形成“人人有项目、班班有团队、月月有比赛”的校园体育氛围。</w:t>
      </w:r>
    </w:p>
    <w:p w14:paraId="4A359E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标准粗黑" w:hAnsi="标准粗黑" w:eastAsia="标准粗黑" w:cs="标准粗黑"/>
          <w:sz w:val="32"/>
          <w:szCs w:val="32"/>
          <w:lang w:eastAsia="zh-CN"/>
        </w:rPr>
      </w:pPr>
      <w:r>
        <w:rPr>
          <w:rFonts w:hint="eastAsia" w:ascii="标准粗黑" w:hAnsi="标准粗黑" w:eastAsia="标准粗黑" w:cs="标准粗黑"/>
          <w:sz w:val="32"/>
          <w:szCs w:val="32"/>
          <w:lang w:eastAsia="zh-CN"/>
        </w:rPr>
        <w:t>二、组织架构</w:t>
      </w:r>
    </w:p>
    <w:p w14:paraId="22B024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（一）领导小组</w:t>
      </w:r>
    </w:p>
    <w:p w14:paraId="636A21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长：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周春明</w:t>
      </w:r>
    </w:p>
    <w:p w14:paraId="5BAB42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副组长：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史敏</w:t>
      </w:r>
    </w:p>
    <w:p w14:paraId="0F0A2C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成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员：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蒋锋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袁辉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王钢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许峰</w:t>
      </w:r>
    </w:p>
    <w:p w14:paraId="2F4B13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（二）工作小组</w:t>
      </w:r>
    </w:p>
    <w:p w14:paraId="07243D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长：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蒋锋</w:t>
      </w:r>
      <w:bookmarkStart w:id="0" w:name="_GoBack"/>
      <w:bookmarkEnd w:id="0"/>
    </w:p>
    <w:p w14:paraId="0B9473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成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员：全体体育教师、班主任、校卫生保健教师、心理健康教师</w:t>
      </w:r>
    </w:p>
    <w:p w14:paraId="1C1020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标准粗黑" w:hAnsi="标准粗黑" w:eastAsia="标准粗黑" w:cs="标准粗黑"/>
          <w:sz w:val="32"/>
          <w:szCs w:val="32"/>
          <w:lang w:eastAsia="zh-CN"/>
        </w:rPr>
      </w:pPr>
      <w:r>
        <w:rPr>
          <w:rFonts w:hint="eastAsia" w:ascii="标准粗黑" w:hAnsi="标准粗黑" w:eastAsia="标准粗黑" w:cs="标准粗黑"/>
          <w:sz w:val="32"/>
          <w:szCs w:val="32"/>
          <w:lang w:eastAsia="zh-CN"/>
        </w:rPr>
        <w:t>三、工作任务</w:t>
      </w:r>
    </w:p>
    <w:p w14:paraId="313C38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（一）保障运动时长</w:t>
      </w:r>
    </w:p>
    <w:p w14:paraId="3EC86B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1.体育课时安排：按国家课程标准，严格按照体育课、活动课课时要求落实教学课时与教学内容，每班每周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节体育课+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节活动课。</w:t>
      </w:r>
    </w:p>
    <w:p w14:paraId="7FD91B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2.每日基础活动安排框架</w:t>
      </w:r>
    </w:p>
    <w:p w14:paraId="04D292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周一——周四综合体育活动2小时安排</w:t>
      </w:r>
    </w:p>
    <w:tbl>
      <w:tblPr>
        <w:tblStyle w:val="6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121"/>
        <w:gridCol w:w="1896"/>
        <w:gridCol w:w="4453"/>
      </w:tblGrid>
      <w:tr w14:paraId="7A218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39" w:type="dxa"/>
            <w:vAlign w:val="center"/>
          </w:tcPr>
          <w:p w14:paraId="1F0306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21" w:type="dxa"/>
            <w:vAlign w:val="center"/>
          </w:tcPr>
          <w:p w14:paraId="5C0A93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活动内容</w:t>
            </w:r>
          </w:p>
        </w:tc>
        <w:tc>
          <w:tcPr>
            <w:tcW w:w="1896" w:type="dxa"/>
            <w:vAlign w:val="center"/>
          </w:tcPr>
          <w:p w14:paraId="6643CC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时长</w:t>
            </w:r>
          </w:p>
        </w:tc>
        <w:tc>
          <w:tcPr>
            <w:tcW w:w="4453" w:type="dxa"/>
            <w:vAlign w:val="center"/>
          </w:tcPr>
          <w:p w14:paraId="6EF050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组织形式</w:t>
            </w:r>
          </w:p>
        </w:tc>
      </w:tr>
      <w:tr w14:paraId="036A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739" w:type="dxa"/>
            <w:vAlign w:val="center"/>
          </w:tcPr>
          <w:p w14:paraId="2BBF4C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4A841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体育课、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体育活动课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BB0F0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分钟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4414A2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按课表实施国家课程</w:t>
            </w:r>
          </w:p>
        </w:tc>
      </w:tr>
      <w:tr w14:paraId="3777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739" w:type="dxa"/>
            <w:vAlign w:val="center"/>
          </w:tcPr>
          <w:p w14:paraId="22B34B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4C88D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大课间活动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2616A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分钟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53F2A2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全校学生参与，教师随队</w:t>
            </w:r>
          </w:p>
          <w:p w14:paraId="73FB78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（雨天改为室内体能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操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）</w:t>
            </w:r>
          </w:p>
        </w:tc>
      </w:tr>
      <w:tr w14:paraId="7E528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739" w:type="dxa"/>
            <w:vAlign w:val="center"/>
          </w:tcPr>
          <w:p w14:paraId="29E2E1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93887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微运动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FDF82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分钟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3E8F1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室内微运动（拉伸、手指操）</w:t>
            </w:r>
          </w:p>
        </w:tc>
      </w:tr>
      <w:tr w14:paraId="701F6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860" w:type="dxa"/>
            <w:gridSpan w:val="2"/>
            <w:vAlign w:val="center"/>
          </w:tcPr>
          <w:p w14:paraId="6CF0E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合计时长</w:t>
            </w:r>
          </w:p>
        </w:tc>
        <w:tc>
          <w:tcPr>
            <w:tcW w:w="6349" w:type="dxa"/>
            <w:gridSpan w:val="2"/>
            <w:vAlign w:val="center"/>
          </w:tcPr>
          <w:p w14:paraId="625144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120分钟</w:t>
            </w:r>
          </w:p>
        </w:tc>
      </w:tr>
    </w:tbl>
    <w:p w14:paraId="48601A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  <w:t>周五综合体育活动2小时安排</w:t>
      </w:r>
    </w:p>
    <w:tbl>
      <w:tblPr>
        <w:tblStyle w:val="6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121"/>
        <w:gridCol w:w="1896"/>
        <w:gridCol w:w="4453"/>
      </w:tblGrid>
      <w:tr w14:paraId="78BD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39" w:type="dxa"/>
            <w:vAlign w:val="center"/>
          </w:tcPr>
          <w:p w14:paraId="2484F9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21" w:type="dxa"/>
            <w:vAlign w:val="center"/>
          </w:tcPr>
          <w:p w14:paraId="6F13E7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活动内容</w:t>
            </w:r>
          </w:p>
        </w:tc>
        <w:tc>
          <w:tcPr>
            <w:tcW w:w="1896" w:type="dxa"/>
            <w:vAlign w:val="center"/>
          </w:tcPr>
          <w:p w14:paraId="61CC9E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时长</w:t>
            </w:r>
          </w:p>
        </w:tc>
        <w:tc>
          <w:tcPr>
            <w:tcW w:w="4453" w:type="dxa"/>
            <w:vAlign w:val="center"/>
          </w:tcPr>
          <w:p w14:paraId="6B795A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组织形式</w:t>
            </w:r>
          </w:p>
        </w:tc>
      </w:tr>
      <w:tr w14:paraId="1807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739" w:type="dxa"/>
            <w:vAlign w:val="center"/>
          </w:tcPr>
          <w:p w14:paraId="37F2A6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1DD9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体育课、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体育活动课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35922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分钟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418DDA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按课表实施国家课程</w:t>
            </w:r>
          </w:p>
        </w:tc>
      </w:tr>
      <w:tr w14:paraId="7CCCB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739" w:type="dxa"/>
            <w:vAlign w:val="center"/>
          </w:tcPr>
          <w:p w14:paraId="5BFBFA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D694B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大课间活动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21C3D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分钟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77D238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全校学生参与，教师随队</w:t>
            </w:r>
          </w:p>
          <w:p w14:paraId="42AC83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（雨天改为室内体能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操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）</w:t>
            </w:r>
          </w:p>
        </w:tc>
      </w:tr>
      <w:tr w14:paraId="61A8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39" w:type="dxa"/>
            <w:vAlign w:val="center"/>
          </w:tcPr>
          <w:p w14:paraId="2022CB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C2261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微运动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954A1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分钟</w:t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3FA132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室内微运动（拉伸、手指操）</w:t>
            </w:r>
          </w:p>
        </w:tc>
      </w:tr>
      <w:tr w14:paraId="6C39B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860" w:type="dxa"/>
            <w:gridSpan w:val="2"/>
            <w:vAlign w:val="center"/>
          </w:tcPr>
          <w:p w14:paraId="63230F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合计时长</w:t>
            </w:r>
          </w:p>
        </w:tc>
        <w:tc>
          <w:tcPr>
            <w:tcW w:w="6349" w:type="dxa"/>
            <w:gridSpan w:val="2"/>
            <w:vAlign w:val="center"/>
          </w:tcPr>
          <w:p w14:paraId="140E76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120分钟</w:t>
            </w:r>
          </w:p>
        </w:tc>
      </w:tr>
    </w:tbl>
    <w:p w14:paraId="659246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（二）丰富项目设置</w:t>
      </w:r>
    </w:p>
    <w:p w14:paraId="6ADA45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1.体育课程项目设置：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篮球、足球、气排球、乒乓球、田径。</w:t>
      </w:r>
    </w:p>
    <w:p w14:paraId="799468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2.体育校队、社团、课后服务及学校提供的其他课内外运动项目设置：篮球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、羽毛球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、乒乓社、健身社等项目，每周一次。</w:t>
      </w:r>
    </w:p>
    <w:p w14:paraId="6DD62B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（三）开展赛事活动</w:t>
      </w:r>
    </w:p>
    <w:p w14:paraId="29EAAD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1.学生运动会：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每学年举办秋、春季运动会各一次，鼓励全员参与。</w:t>
      </w:r>
    </w:p>
    <w:tbl>
      <w:tblPr>
        <w:tblStyle w:val="8"/>
        <w:tblW w:w="9204" w:type="dxa"/>
        <w:tblInd w:w="-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2649"/>
        <w:gridCol w:w="5943"/>
      </w:tblGrid>
      <w:tr w14:paraId="2243E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12" w:type="dxa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 w14:paraId="6ADB3E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季节</w:t>
            </w:r>
          </w:p>
        </w:tc>
        <w:tc>
          <w:tcPr>
            <w:tcW w:w="2649" w:type="dxa"/>
            <w:tcBorders>
              <w:top w:val="single" w:color="000000" w:sz="8" w:space="0"/>
            </w:tcBorders>
            <w:vAlign w:val="center"/>
          </w:tcPr>
          <w:p w14:paraId="4C1CCE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主题</w:t>
            </w:r>
          </w:p>
        </w:tc>
        <w:tc>
          <w:tcPr>
            <w:tcW w:w="5943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 w14:paraId="4967DB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活动内容</w:t>
            </w:r>
          </w:p>
        </w:tc>
      </w:tr>
      <w:tr w14:paraId="45B58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12" w:type="dxa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  <w:vAlign w:val="center"/>
          </w:tcPr>
          <w:p w14:paraId="0FAD92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秋季</w:t>
            </w:r>
          </w:p>
        </w:tc>
        <w:tc>
          <w:tcPr>
            <w:tcW w:w="2649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32D6B3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en-US"/>
              </w:rPr>
              <w:t>强健体魄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 奋勇争先</w:t>
            </w:r>
          </w:p>
        </w:tc>
        <w:tc>
          <w:tcPr>
            <w:tcW w:w="5943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14C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田径项目、体质健康测试相关项目</w:t>
            </w:r>
          </w:p>
        </w:tc>
      </w:tr>
      <w:tr w14:paraId="0F221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12" w:type="dxa"/>
            <w:tcBorders>
              <w:left w:val="single" w:color="000000" w:sz="8" w:space="0"/>
            </w:tcBorders>
            <w:vAlign w:val="center"/>
          </w:tcPr>
          <w:p w14:paraId="2FD04C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春季</w:t>
            </w:r>
          </w:p>
        </w:tc>
        <w:tc>
          <w:tcPr>
            <w:tcW w:w="2649" w:type="dxa"/>
            <w:vAlign w:val="center"/>
          </w:tcPr>
          <w:p w14:paraId="4F4170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趣享运动 聚力同行</w:t>
            </w:r>
          </w:p>
        </w:tc>
        <w:tc>
          <w:tcPr>
            <w:tcW w:w="5943" w:type="dxa"/>
            <w:tcBorders>
              <w:right w:val="single" w:color="000000" w:sz="8" w:space="0"/>
            </w:tcBorders>
            <w:vAlign w:val="center"/>
          </w:tcPr>
          <w:p w14:paraId="049A23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趣味体育游戏、集体运动</w:t>
            </w:r>
          </w:p>
        </w:tc>
      </w:tr>
    </w:tbl>
    <w:p w14:paraId="2BF514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2.“乐动比赛日 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每月设定主题赛事（赛事日程等可能因天气等原因相应调整）</w:t>
      </w:r>
    </w:p>
    <w:tbl>
      <w:tblPr>
        <w:tblStyle w:val="8"/>
        <w:tblpPr w:leftFromText="180" w:rightFromText="180" w:vertAnchor="text" w:horzAnchor="page" w:tblpX="1324" w:tblpY="75"/>
        <w:tblW w:w="5007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2630"/>
        <w:gridCol w:w="5984"/>
      </w:tblGrid>
      <w:tr w14:paraId="74A19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358" w:type="pct"/>
            <w:tcBorders>
              <w:top w:val="single" w:color="000000" w:sz="8" w:space="0"/>
              <w:left w:val="single" w:color="000000" w:sz="8" w:space="0"/>
            </w:tcBorders>
            <w:vAlign w:val="center"/>
          </w:tcPr>
          <w:p w14:paraId="0ACF78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月份</w:t>
            </w:r>
          </w:p>
        </w:tc>
        <w:tc>
          <w:tcPr>
            <w:tcW w:w="1417" w:type="pct"/>
            <w:tcBorders>
              <w:top w:val="single" w:color="000000" w:sz="8" w:space="0"/>
            </w:tcBorders>
            <w:vAlign w:val="center"/>
          </w:tcPr>
          <w:p w14:paraId="36710A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赛事名称</w:t>
            </w:r>
          </w:p>
        </w:tc>
        <w:tc>
          <w:tcPr>
            <w:tcW w:w="3224" w:type="pct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 w14:paraId="0F9EA1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活动内容</w:t>
            </w:r>
          </w:p>
        </w:tc>
      </w:tr>
      <w:tr w14:paraId="20FA2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pct"/>
            <w:tcBorders>
              <w:left w:val="single" w:color="000000" w:sz="8" w:space="0"/>
            </w:tcBorders>
            <w:vAlign w:val="center"/>
          </w:tcPr>
          <w:p w14:paraId="24C471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417" w:type="pct"/>
            <w:vAlign w:val="center"/>
          </w:tcPr>
          <w:p w14:paraId="0AA596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hAnsi="Arial" w:cs="Arial" w:eastAsiaTheme="minorEastAsia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秋季运动会</w:t>
            </w:r>
          </w:p>
        </w:tc>
        <w:tc>
          <w:tcPr>
            <w:tcW w:w="3224" w:type="pct"/>
            <w:tcBorders>
              <w:right w:val="single" w:color="000000" w:sz="8" w:space="0"/>
            </w:tcBorders>
            <w:vAlign w:val="center"/>
          </w:tcPr>
          <w:p w14:paraId="6D7F4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田径项目、体质健康测试相关项目</w:t>
            </w:r>
          </w:p>
        </w:tc>
      </w:tr>
      <w:tr w14:paraId="13988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pct"/>
            <w:tcBorders>
              <w:left w:val="single" w:color="000000" w:sz="8" w:space="0"/>
            </w:tcBorders>
            <w:vAlign w:val="center"/>
          </w:tcPr>
          <w:p w14:paraId="7F19D9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7" w:type="pct"/>
            <w:vAlign w:val="center"/>
          </w:tcPr>
          <w:p w14:paraId="12EFFC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踢跳专项比赛</w:t>
            </w:r>
          </w:p>
        </w:tc>
        <w:tc>
          <w:tcPr>
            <w:tcW w:w="3224" w:type="pct"/>
            <w:tcBorders>
              <w:right w:val="single" w:color="000000" w:sz="8" w:space="0"/>
            </w:tcBorders>
            <w:vAlign w:val="center"/>
          </w:tcPr>
          <w:p w14:paraId="3C9E8A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踢毽子、跳短绳</w:t>
            </w:r>
          </w:p>
        </w:tc>
      </w:tr>
      <w:tr w14:paraId="7396D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pct"/>
            <w:tcBorders>
              <w:left w:val="single" w:color="000000" w:sz="8" w:space="0"/>
            </w:tcBorders>
            <w:vAlign w:val="center"/>
          </w:tcPr>
          <w:p w14:paraId="62D79A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17" w:type="pct"/>
            <w:vAlign w:val="center"/>
          </w:tcPr>
          <w:p w14:paraId="52DE26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拔河与长绳团体赛</w:t>
            </w:r>
          </w:p>
        </w:tc>
        <w:tc>
          <w:tcPr>
            <w:tcW w:w="3224" w:type="pct"/>
            <w:tcBorders>
              <w:right w:val="single" w:color="000000" w:sz="8" w:space="0"/>
            </w:tcBorders>
            <w:vAlign w:val="center"/>
          </w:tcPr>
          <w:p w14:paraId="473774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拔河、团体长绳</w:t>
            </w:r>
          </w:p>
        </w:tc>
      </w:tr>
      <w:tr w14:paraId="17640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pct"/>
            <w:tcBorders>
              <w:left w:val="single" w:color="000000" w:sz="8" w:space="0"/>
            </w:tcBorders>
            <w:vAlign w:val="center"/>
          </w:tcPr>
          <w:p w14:paraId="48BDF2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17" w:type="pct"/>
            <w:vAlign w:val="center"/>
          </w:tcPr>
          <w:p w14:paraId="6300DB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篮球足球技巧赛</w:t>
            </w:r>
          </w:p>
        </w:tc>
        <w:tc>
          <w:tcPr>
            <w:tcW w:w="3224" w:type="pct"/>
            <w:tcBorders>
              <w:right w:val="single" w:color="000000" w:sz="8" w:space="0"/>
            </w:tcBorders>
            <w:vAlign w:val="center"/>
          </w:tcPr>
          <w:p w14:paraId="25DC11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篮球技巧赛、足球技巧赛</w:t>
            </w:r>
          </w:p>
        </w:tc>
      </w:tr>
      <w:tr w14:paraId="6EE4D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pct"/>
            <w:tcBorders>
              <w:left w:val="single" w:color="000000" w:sz="8" w:space="0"/>
            </w:tcBorders>
            <w:vAlign w:val="center"/>
          </w:tcPr>
          <w:p w14:paraId="7D46B7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17" w:type="pct"/>
            <w:vAlign w:val="center"/>
          </w:tcPr>
          <w:p w14:paraId="6C60B9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趣味运动比赛</w:t>
            </w:r>
          </w:p>
        </w:tc>
        <w:tc>
          <w:tcPr>
            <w:tcW w:w="3224" w:type="pct"/>
            <w:tcBorders>
              <w:right w:val="single" w:color="000000" w:sz="8" w:space="0"/>
            </w:tcBorders>
            <w:vAlign w:val="center"/>
          </w:tcPr>
          <w:p w14:paraId="49BC92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拨球绕杆、夹乒乓球</w:t>
            </w:r>
          </w:p>
        </w:tc>
      </w:tr>
      <w:tr w14:paraId="68A92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pct"/>
            <w:tcBorders>
              <w:left w:val="single" w:color="000000" w:sz="8" w:space="0"/>
            </w:tcBorders>
            <w:vAlign w:val="center"/>
          </w:tcPr>
          <w:p w14:paraId="6CF17D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17" w:type="pct"/>
            <w:vAlign w:val="center"/>
          </w:tcPr>
          <w:p w14:paraId="5CF867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春季运动会</w:t>
            </w:r>
          </w:p>
        </w:tc>
        <w:tc>
          <w:tcPr>
            <w:tcW w:w="3224" w:type="pct"/>
            <w:tcBorders>
              <w:right w:val="single" w:color="000000" w:sz="8" w:space="0"/>
            </w:tcBorders>
            <w:vAlign w:val="center"/>
          </w:tcPr>
          <w:p w14:paraId="5121FB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趣味体育游戏、集体运动</w:t>
            </w:r>
          </w:p>
        </w:tc>
      </w:tr>
      <w:tr w14:paraId="2C927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pct"/>
            <w:tcBorders>
              <w:left w:val="single" w:color="000000" w:sz="8" w:space="0"/>
            </w:tcBorders>
            <w:vAlign w:val="center"/>
          </w:tcPr>
          <w:p w14:paraId="61E7A1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17" w:type="pct"/>
            <w:vAlign w:val="center"/>
          </w:tcPr>
          <w:p w14:paraId="009D2B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趣味运动比赛</w:t>
            </w:r>
          </w:p>
        </w:tc>
        <w:tc>
          <w:tcPr>
            <w:tcW w:w="3224" w:type="pct"/>
            <w:tcBorders>
              <w:right w:val="single" w:color="000000" w:sz="8" w:space="0"/>
            </w:tcBorders>
            <w:vAlign w:val="center"/>
          </w:tcPr>
          <w:p w14:paraId="3B2AC1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飞盘九宫格、障碍接力</w:t>
            </w:r>
          </w:p>
        </w:tc>
      </w:tr>
      <w:tr w14:paraId="043A9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58" w:type="pct"/>
            <w:tcBorders>
              <w:left w:val="single" w:color="000000" w:sz="8" w:space="0"/>
            </w:tcBorders>
            <w:vAlign w:val="center"/>
          </w:tcPr>
          <w:p w14:paraId="61F9D7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7" w:type="pct"/>
            <w:vAlign w:val="center"/>
          </w:tcPr>
          <w:p w14:paraId="3EC841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eastAsia="zh-CN"/>
              </w:rPr>
              <w:t>定点投篮体能竞赛</w:t>
            </w:r>
          </w:p>
        </w:tc>
        <w:tc>
          <w:tcPr>
            <w:tcW w:w="3224" w:type="pct"/>
            <w:tcBorders>
              <w:right w:val="single" w:color="000000" w:sz="8" w:space="0"/>
            </w:tcBorders>
            <w:vAlign w:val="center"/>
          </w:tcPr>
          <w:p w14:paraId="27B149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定点投篮、体能组合练习</w:t>
            </w:r>
          </w:p>
        </w:tc>
      </w:tr>
    </w:tbl>
    <w:p w14:paraId="58CD69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3.开放与联动：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邀请家长、社区代表等参与赛事活动，增强家校社互动。</w:t>
      </w:r>
    </w:p>
    <w:p w14:paraId="2CFA7D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（四）场地设施保障</w:t>
      </w:r>
    </w:p>
    <w:p w14:paraId="01C520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1.基础场地：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250米跑道田径运动场1块（内含7人制足球场一片），篮球场地3片，乒乓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室1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个，体能训练室1个。</w:t>
      </w:r>
    </w:p>
    <w:p w14:paraId="1558D3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2.微运动空间：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用校园边角空地、闲置区域，打造小型运动场地。</w:t>
      </w:r>
    </w:p>
    <w:p w14:paraId="21F8B0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3.数智设备：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希沃显示屏。</w:t>
      </w:r>
    </w:p>
    <w:p w14:paraId="017217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4.共享机制：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后续开展。</w:t>
      </w:r>
    </w:p>
    <w:p w14:paraId="698944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（五）实施干预指导</w:t>
      </w:r>
    </w:p>
    <w:p w14:paraId="6E1943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1.体质健康测试</w:t>
      </w:r>
    </w:p>
    <w:p w14:paraId="5CB140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）每学期开展1次全员体质测试，及时将结果反馈家长。</w:t>
      </w:r>
    </w:p>
    <w:p w14:paraId="3BF29B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）建立“一生一档”，动态跟踪学生体质变化。</w:t>
      </w:r>
    </w:p>
    <w:p w14:paraId="490232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2.分级干预机制：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对体质未达良好的学生制定个性化运动处方；发掘学生中有潜力的优秀苗子，提供专业训练与竞赛机会。</w:t>
      </w:r>
    </w:p>
    <w:p w14:paraId="4B5E39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（六）强化安全保障</w:t>
      </w:r>
    </w:p>
    <w:p w14:paraId="42EC4A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1.防护体系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5670"/>
      </w:tblGrid>
      <w:tr w14:paraId="6B66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4" w:type="dxa"/>
            <w:vAlign w:val="center"/>
          </w:tcPr>
          <w:p w14:paraId="7B185C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防护内容</w:t>
            </w:r>
          </w:p>
        </w:tc>
        <w:tc>
          <w:tcPr>
            <w:tcW w:w="5670" w:type="dxa"/>
            <w:vAlign w:val="center"/>
          </w:tcPr>
          <w:p w14:paraId="510D4E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防护措施</w:t>
            </w:r>
          </w:p>
        </w:tc>
      </w:tr>
      <w:tr w14:paraId="44CA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4" w:type="dxa"/>
            <w:vAlign w:val="center"/>
          </w:tcPr>
          <w:p w14:paraId="14E3B1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  <w:t>预防</w:t>
            </w:r>
          </w:p>
        </w:tc>
        <w:tc>
          <w:tcPr>
            <w:tcW w:w="5670" w:type="dxa"/>
            <w:vAlign w:val="center"/>
          </w:tcPr>
          <w:p w14:paraId="46254D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  <w:t>急救培训（CPR+AED）</w:t>
            </w:r>
          </w:p>
        </w:tc>
      </w:tr>
      <w:tr w14:paraId="14689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4" w:type="dxa"/>
            <w:vAlign w:val="center"/>
          </w:tcPr>
          <w:p w14:paraId="66FBC8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  <w:t>监控</w:t>
            </w:r>
          </w:p>
        </w:tc>
        <w:tc>
          <w:tcPr>
            <w:tcW w:w="5670" w:type="dxa"/>
            <w:vAlign w:val="center"/>
          </w:tcPr>
          <w:p w14:paraId="5DB7D7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  <w:t>课间安全巡护</w:t>
            </w:r>
          </w:p>
        </w:tc>
      </w:tr>
      <w:tr w14:paraId="6BC5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4" w:type="dxa"/>
            <w:vAlign w:val="center"/>
          </w:tcPr>
          <w:p w14:paraId="5BC808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  <w:t>应急</w:t>
            </w:r>
          </w:p>
        </w:tc>
        <w:tc>
          <w:tcPr>
            <w:tcW w:w="5670" w:type="dxa"/>
            <w:vAlign w:val="center"/>
          </w:tcPr>
          <w:p w14:paraId="02CB06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  <w:t>与社区或定点医院共建绿色通道（15分钟响应）</w:t>
            </w:r>
          </w:p>
        </w:tc>
      </w:tr>
      <w:tr w14:paraId="782D8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4" w:type="dxa"/>
            <w:vAlign w:val="center"/>
          </w:tcPr>
          <w:p w14:paraId="4874D7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  <w:t>保险</w:t>
            </w:r>
          </w:p>
        </w:tc>
        <w:tc>
          <w:tcPr>
            <w:tcW w:w="5670" w:type="dxa"/>
            <w:vAlign w:val="center"/>
          </w:tcPr>
          <w:p w14:paraId="75E7F0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eastAsia="zh-CN"/>
              </w:rPr>
              <w:t>学校为学生购买运动意外伤害专项保险</w:t>
            </w:r>
          </w:p>
        </w:tc>
      </w:tr>
    </w:tbl>
    <w:p w14:paraId="02CC19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2.教师运动安全培训：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全体体育教师参与红十字会急救培训，具备急救证书。</w:t>
      </w:r>
    </w:p>
    <w:p w14:paraId="4518DA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3.学生运动安全教育工作：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体育课中根据不同学段学生的认知水平、运动能力及常见风险开展运动安全理论知识学习；校园广播“安全运动小知识”等。</w:t>
      </w:r>
    </w:p>
    <w:p w14:paraId="54D7DD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4.学校AED配备情况：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配置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台AED。</w:t>
      </w:r>
    </w:p>
    <w:p w14:paraId="7DFE17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5.学校运动伤害快速响应机制：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组织成立学生伤害事故处理领导小组，任何在校园内发生的学生伤害事故均要求以“及时救助，妥善处理”为原则进行。</w:t>
      </w:r>
    </w:p>
    <w:p w14:paraId="615EE9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6.建立定点医院运动伤害救治绿色通道：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上海市中山医院青浦分院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</w:p>
    <w:p w14:paraId="143F52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7.学生运动意外伤害专项保险配置情况：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学校为学生代为办理上海市中小学生婴幼儿住院医疗互助金、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中国人寿意外伤害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险、上海市城镇居民医疗保险和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运动意外伤害专项保险基金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四项保险。</w:t>
      </w:r>
    </w:p>
    <w:p w14:paraId="45B059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国标楷体" w:hAnsi="国标楷体" w:eastAsia="国标楷体" w:cs="国标楷体"/>
          <w:b/>
          <w:bCs/>
          <w:sz w:val="32"/>
          <w:szCs w:val="32"/>
          <w:lang w:eastAsia="zh-CN"/>
        </w:rPr>
        <w:t>（七）应急预案：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细化雨天、雾霾、高温等情况下的室内体育活动预案，可根据原制定的应急预案执行。</w:t>
      </w:r>
    </w:p>
    <w:p w14:paraId="55D6E3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标准粗黑" w:hAnsi="标准粗黑" w:eastAsia="标准粗黑" w:cs="标准粗黑"/>
          <w:sz w:val="32"/>
          <w:szCs w:val="32"/>
          <w:lang w:eastAsia="zh-CN"/>
        </w:rPr>
      </w:pPr>
      <w:r>
        <w:rPr>
          <w:rFonts w:hint="eastAsia" w:ascii="标准粗黑" w:hAnsi="标准粗黑" w:eastAsia="标准粗黑" w:cs="标准粗黑"/>
          <w:sz w:val="32"/>
          <w:szCs w:val="32"/>
          <w:lang w:eastAsia="zh-CN"/>
        </w:rPr>
        <w:t>四、工作监督</w:t>
      </w:r>
    </w:p>
    <w:p w14:paraId="0C68FB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1.本方案于2026年秋季学期起实施，并通过校园公示栏向社会公示。</w:t>
      </w:r>
    </w:p>
    <w:p w14:paraId="3D6FD9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2.设立校级监督电话：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57935123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，接受家长和社会监督。</w:t>
      </w:r>
    </w:p>
    <w:p w14:paraId="4278F6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3.接受区教育局专项督导，确保政策落地见效。</w:t>
      </w:r>
    </w:p>
    <w:p w14:paraId="58DF16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08F86C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60FDF8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上海市青浦区职业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学校</w:t>
      </w:r>
    </w:p>
    <w:p w14:paraId="58F1AE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baseline"/>
        <w:rPr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2026年8月</w:t>
      </w:r>
    </w:p>
    <w:sectPr>
      <w:footerReference r:id="rId3" w:type="default"/>
      <w:pgSz w:w="11906" w:h="16840"/>
      <w:pgMar w:top="1431" w:right="1263" w:bottom="1186" w:left="1398" w:header="0" w:footer="101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5E747AD-F142-468C-833F-53083F7A55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323A328-3670-4908-BD27-E3C9F348EA3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4F89F7D-8B1D-4251-87BF-405FA91B0BFC}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4" w:fontKey="{B1163E2D-AE32-4AB1-9E96-6098648A2D6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2511F80-6C0F-4B15-A376-FE30374FA3DE}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  <w:embedRegular r:id="rId6" w:fontKey="{24454630-3A0C-4DBB-BA78-0CB85BC906D3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8CF91739-E906-4847-9BB5-00D90CB5EA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FA438">
    <w:pPr>
      <w:spacing w:line="235" w:lineRule="exact"/>
      <w:ind w:left="4611"/>
      <w:rPr>
        <w:sz w:val="18"/>
        <w:szCs w:val="18"/>
      </w:rPr>
    </w:pPr>
    <w:r>
      <w:rPr>
        <w:rFonts w:eastAsia="Arial"/>
        <w:position w:val="1"/>
        <w:sz w:val="18"/>
        <w:szCs w:val="18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C77776"/>
    <w:rsid w:val="001204E3"/>
    <w:rsid w:val="001E16BF"/>
    <w:rsid w:val="002561FC"/>
    <w:rsid w:val="0027101B"/>
    <w:rsid w:val="002E1834"/>
    <w:rsid w:val="004B20C0"/>
    <w:rsid w:val="005D6C82"/>
    <w:rsid w:val="006558CE"/>
    <w:rsid w:val="006E1B20"/>
    <w:rsid w:val="0075282A"/>
    <w:rsid w:val="0084637F"/>
    <w:rsid w:val="009303D8"/>
    <w:rsid w:val="00AA5E57"/>
    <w:rsid w:val="00AA6A62"/>
    <w:rsid w:val="00B406CA"/>
    <w:rsid w:val="00C1488B"/>
    <w:rsid w:val="00C77776"/>
    <w:rsid w:val="00C90734"/>
    <w:rsid w:val="00CA6471"/>
    <w:rsid w:val="00D11089"/>
    <w:rsid w:val="00D36C96"/>
    <w:rsid w:val="00D50C09"/>
    <w:rsid w:val="00D756E2"/>
    <w:rsid w:val="00E12F8E"/>
    <w:rsid w:val="00ED3D9A"/>
    <w:rsid w:val="00ED71E7"/>
    <w:rsid w:val="00F87FCA"/>
    <w:rsid w:val="00FA6FF2"/>
    <w:rsid w:val="00FE0537"/>
    <w:rsid w:val="03522F2C"/>
    <w:rsid w:val="088B5C4A"/>
    <w:rsid w:val="0C5F2075"/>
    <w:rsid w:val="187E5D5E"/>
    <w:rsid w:val="1FFDCEFB"/>
    <w:rsid w:val="26DA4B9B"/>
    <w:rsid w:val="2AFC6642"/>
    <w:rsid w:val="2F6446E6"/>
    <w:rsid w:val="31203753"/>
    <w:rsid w:val="386121DB"/>
    <w:rsid w:val="3875509E"/>
    <w:rsid w:val="4AB4263E"/>
    <w:rsid w:val="4E710F72"/>
    <w:rsid w:val="531445C2"/>
    <w:rsid w:val="537C4D9E"/>
    <w:rsid w:val="578A05D1"/>
    <w:rsid w:val="6F1A35A7"/>
    <w:rsid w:val="77BBA70B"/>
    <w:rsid w:val="7F26FE02"/>
    <w:rsid w:val="DDA92913"/>
    <w:rsid w:val="FEFF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Theme="minorHAnsi" w:hAnsiTheme="minorHAnsi" w:cstheme="minorBidi"/>
      <w:snapToGrid/>
      <w:color w:val="auto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eastAsia="Arial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1971</Words>
  <Characters>2050</Characters>
  <Lines>36</Lines>
  <Paragraphs>10</Paragraphs>
  <TotalTime>28</TotalTime>
  <ScaleCrop>false</ScaleCrop>
  <LinksUpToDate>false</LinksUpToDate>
  <CharactersWithSpaces>2061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2026-03-11T18:53:00Z</dcterms:created>
  <dc:creator>Winnie</dc:creator>
  <cp:lastModifiedBy>蒋锋</cp:lastModifiedBy>
  <dcterms:modified xsi:type="dcterms:W3CDTF">2026-08-29T08:04:59Z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2026-03-12T10:54:33Z</vt:filetime>
  </property>
  <property fmtid="{D5CDD505-2E9C-101B-9397-08002B2CF9AE}" pid="4" name="KSOProductBuildVer">
    <vt:lpwstr>2052-12.1.0.28043</vt:lpwstr>
  </property>
  <property fmtid="{D5CDD505-2E9C-101B-9397-08002B2CF9AE}" pid="5" name="ICV">
    <vt:lpwstr>380052E8A6FB4C2B8C982D31BC17A29D_13</vt:lpwstr>
  </property>
  <property fmtid="{D5CDD505-2E9C-101B-9397-08002B2CF9AE}" pid="6" name="KSOTemplateDocerSaveRecord">
    <vt:lpwstr>eyJoZGlkIjoiOTU4NzE3NTFiNzY0ZGUxZDRiMmRkZGY3YzNmMGFlMWMiLCJ1c2VySWQiOiI3NDIxOTg3MjIifQ==</vt:lpwstr>
  </property>
</Properties>
</file>