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6BC" w:rsidRDefault="00A66FFC">
      <w:pPr>
        <w:rPr>
          <w:rFonts w:ascii="黑体" w:eastAsia="黑体" w:hAnsi="黑体"/>
          <w:sz w:val="32"/>
          <w:szCs w:val="32"/>
        </w:rPr>
      </w:pPr>
      <w:r>
        <w:rPr>
          <w:rFonts w:ascii="黑体" w:eastAsia="黑体" w:hAnsi="黑体" w:hint="eastAsia"/>
          <w:sz w:val="32"/>
          <w:szCs w:val="32"/>
        </w:rPr>
        <w:t>附件</w:t>
      </w:r>
    </w:p>
    <w:p w:rsidR="00BD46BC" w:rsidRDefault="00A66FFC">
      <w:pPr>
        <w:spacing w:line="560" w:lineRule="exact"/>
        <w:jc w:val="center"/>
        <w:rPr>
          <w:rFonts w:ascii="方正小标宋简体" w:eastAsia="方正小标宋简体" w:hAnsi="方正小标宋简体" w:cs="方正小标宋简体"/>
          <w:sz w:val="44"/>
          <w:szCs w:val="44"/>
        </w:rPr>
      </w:pPr>
      <w:bookmarkStart w:id="0" w:name="_GoBack"/>
      <w:r>
        <w:rPr>
          <w:rFonts w:ascii="方正小标宋简体" w:eastAsia="方正小标宋简体" w:hAnsi="方正小标宋简体" w:cs="方正小标宋简体" w:hint="eastAsia"/>
          <w:sz w:val="44"/>
          <w:szCs w:val="44"/>
        </w:rPr>
        <w:t>招生简章</w:t>
      </w:r>
    </w:p>
    <w:bookmarkEnd w:id="0"/>
    <w:p w:rsidR="00BD46BC" w:rsidRDefault="00BD46BC">
      <w:pPr>
        <w:spacing w:line="560" w:lineRule="exact"/>
        <w:rPr>
          <w:rFonts w:ascii="黑体" w:eastAsia="黑体" w:hAnsi="黑体"/>
          <w:sz w:val="32"/>
          <w:szCs w:val="32"/>
        </w:rPr>
      </w:pPr>
    </w:p>
    <w:p w:rsidR="00BD46BC" w:rsidRDefault="00A66FFC">
      <w:pPr>
        <w:spacing w:after="0" w:line="560" w:lineRule="exact"/>
        <w:ind w:firstLineChars="200" w:firstLine="640"/>
        <w:rPr>
          <w:rFonts w:ascii="黑体" w:eastAsia="黑体" w:hAnsi="黑体"/>
          <w:sz w:val="32"/>
          <w:szCs w:val="32"/>
        </w:rPr>
      </w:pPr>
      <w:r>
        <w:rPr>
          <w:rFonts w:ascii="黑体" w:eastAsia="黑体" w:hAnsi="黑体" w:hint="eastAsia"/>
          <w:sz w:val="32"/>
          <w:szCs w:val="32"/>
        </w:rPr>
        <w:t>一、学校简介</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上海师范大学是上海市重点建设高校，是一所以文科见长并</w:t>
      </w:r>
      <w:proofErr w:type="gramStart"/>
      <w:r>
        <w:rPr>
          <w:rFonts w:ascii="仿宋_GB2312" w:eastAsia="仿宋_GB2312" w:hint="eastAsia"/>
          <w:sz w:val="32"/>
          <w:szCs w:val="32"/>
        </w:rPr>
        <w:t>具教师</w:t>
      </w:r>
      <w:proofErr w:type="gramEnd"/>
      <w:r>
        <w:rPr>
          <w:rFonts w:ascii="仿宋_GB2312" w:eastAsia="仿宋_GB2312" w:hint="eastAsia"/>
          <w:sz w:val="32"/>
          <w:szCs w:val="32"/>
        </w:rPr>
        <w:t>教育特色的文、理、工、艺等学科协调发展的综合性大学。</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学校创建于</w:t>
      </w:r>
      <w:r>
        <w:rPr>
          <w:rFonts w:ascii="仿宋_GB2312" w:eastAsia="仿宋_GB2312"/>
          <w:sz w:val="32"/>
          <w:szCs w:val="32"/>
        </w:rPr>
        <w:t>1954年，1981年被国务院学位委员会确定为首批硕士学位授予单位，1986年被批准为博士学位授予单位，2017年入选教育部卓越教师培养计划实施院校，2021年整体进入上海市高水平地方高校建设行列。学校学科门类齐全，现有哲学、经济学、法学、教育学、文学、历史学、理学、工学、管理学、农学、艺术学等11个学科门类；现有74个本科招生专业；一级学科博士学位授权点14个，博士专业学位授权点1个，一级学科硕士学位授权点31个，硕士专业学位授权点28个，11个博士后流动站。</w:t>
      </w:r>
    </w:p>
    <w:p w:rsidR="00BD46BC" w:rsidRDefault="00A66FFC">
      <w:pPr>
        <w:spacing w:after="0" w:line="560" w:lineRule="exact"/>
        <w:ind w:firstLineChars="200" w:firstLine="640"/>
        <w:rPr>
          <w:rFonts w:ascii="黑体" w:eastAsia="黑体" w:hAnsi="黑体"/>
          <w:sz w:val="32"/>
          <w:szCs w:val="32"/>
        </w:rPr>
      </w:pPr>
      <w:r>
        <w:rPr>
          <w:rFonts w:ascii="黑体" w:eastAsia="黑体" w:hAnsi="黑体" w:hint="eastAsia"/>
          <w:sz w:val="32"/>
          <w:szCs w:val="32"/>
        </w:rPr>
        <w:t>二、招生目录</w:t>
      </w:r>
    </w:p>
    <w:p w:rsidR="00BD46BC" w:rsidRDefault="00A66FFC">
      <w:pPr>
        <w:spacing w:after="0" w:line="560" w:lineRule="exact"/>
        <w:ind w:firstLineChars="200" w:firstLine="641"/>
        <w:rPr>
          <w:rFonts w:ascii="仿宋_GB2312" w:eastAsia="仿宋_GB2312"/>
          <w:sz w:val="32"/>
          <w:szCs w:val="32"/>
        </w:rPr>
      </w:pPr>
      <w:r>
        <w:rPr>
          <w:rFonts w:ascii="仿宋_GB2312" w:eastAsia="仿宋_GB2312" w:hint="eastAsia"/>
          <w:b/>
          <w:bCs/>
          <w:sz w:val="32"/>
          <w:szCs w:val="32"/>
        </w:rPr>
        <w:t>1、课程与教学论：</w:t>
      </w:r>
      <w:r>
        <w:rPr>
          <w:rFonts w:ascii="仿宋_GB2312" w:eastAsia="仿宋_GB2312" w:hint="eastAsia"/>
          <w:bCs/>
          <w:sz w:val="32"/>
          <w:szCs w:val="32"/>
        </w:rPr>
        <w:t>中小学语文教学、中学历史教学、中小学英语教学、中小学数学教学、中学物理教学、中学生物教学、中学化学教学、中小学科学、中学地理教学；教学研究和管理</w:t>
      </w:r>
    </w:p>
    <w:p w:rsidR="00BD46BC" w:rsidRDefault="00A66FFC">
      <w:pPr>
        <w:spacing w:after="0" w:line="560" w:lineRule="exact"/>
        <w:ind w:firstLineChars="200" w:firstLine="641"/>
        <w:rPr>
          <w:rFonts w:ascii="仿宋_GB2312" w:eastAsia="仿宋_GB2312"/>
          <w:sz w:val="32"/>
          <w:szCs w:val="32"/>
        </w:rPr>
      </w:pPr>
      <w:r>
        <w:rPr>
          <w:rFonts w:ascii="仿宋_GB2312" w:eastAsia="仿宋_GB2312" w:hint="eastAsia"/>
          <w:b/>
          <w:bCs/>
          <w:sz w:val="32"/>
          <w:szCs w:val="32"/>
        </w:rPr>
        <w:t>2、教育经济与管理：</w:t>
      </w:r>
      <w:r>
        <w:rPr>
          <w:rFonts w:ascii="仿宋_GB2312" w:eastAsia="仿宋_GB2312" w:hint="eastAsia"/>
          <w:sz w:val="32"/>
          <w:szCs w:val="32"/>
        </w:rPr>
        <w:t>基础教育管理、教育政策与法律、教</w:t>
      </w:r>
      <w:r>
        <w:rPr>
          <w:rFonts w:ascii="仿宋_GB2312" w:eastAsia="仿宋_GB2312" w:hint="eastAsia"/>
          <w:sz w:val="32"/>
          <w:szCs w:val="32"/>
        </w:rPr>
        <w:lastRenderedPageBreak/>
        <w:t>育评价、教育督导、教育经济</w:t>
      </w:r>
    </w:p>
    <w:p w:rsidR="00BD46BC" w:rsidRDefault="00A66FFC">
      <w:pPr>
        <w:spacing w:after="0" w:line="560" w:lineRule="exact"/>
        <w:ind w:firstLineChars="200" w:firstLine="641"/>
        <w:rPr>
          <w:rFonts w:ascii="仿宋_GB2312" w:eastAsia="仿宋_GB2312"/>
          <w:sz w:val="32"/>
          <w:szCs w:val="32"/>
        </w:rPr>
      </w:pPr>
      <w:r>
        <w:rPr>
          <w:rFonts w:ascii="仿宋_GB2312" w:eastAsia="仿宋_GB2312" w:hint="eastAsia"/>
          <w:b/>
          <w:bCs/>
          <w:sz w:val="32"/>
          <w:szCs w:val="32"/>
        </w:rPr>
        <w:t>3、学前教育学：</w:t>
      </w:r>
      <w:r>
        <w:rPr>
          <w:rFonts w:ascii="仿宋_GB2312" w:eastAsia="仿宋_GB2312" w:hint="eastAsia"/>
          <w:sz w:val="32"/>
          <w:szCs w:val="32"/>
        </w:rPr>
        <w:t>早期儿童社会性发展与教育、幼儿园课程与教学、学前教育原理与比较研究、学前艺术教育、学前儿童家庭教育研究等</w:t>
      </w:r>
    </w:p>
    <w:p w:rsidR="00BD46BC" w:rsidRDefault="00A66FFC">
      <w:pPr>
        <w:spacing w:after="0" w:line="560" w:lineRule="exact"/>
        <w:ind w:firstLineChars="200" w:firstLine="641"/>
        <w:rPr>
          <w:rFonts w:ascii="仿宋_GB2312" w:eastAsia="仿宋_GB2312"/>
          <w:sz w:val="32"/>
          <w:szCs w:val="32"/>
        </w:rPr>
      </w:pPr>
      <w:r>
        <w:rPr>
          <w:rFonts w:ascii="仿宋_GB2312" w:eastAsia="仿宋_GB2312" w:hint="eastAsia"/>
          <w:b/>
          <w:bCs/>
          <w:sz w:val="32"/>
          <w:szCs w:val="32"/>
        </w:rPr>
        <w:t>4、发展与教育心理学：</w:t>
      </w:r>
      <w:r>
        <w:rPr>
          <w:rFonts w:ascii="仿宋_GB2312" w:eastAsia="仿宋_GB2312" w:hint="eastAsia"/>
          <w:bCs/>
          <w:sz w:val="32"/>
          <w:szCs w:val="32"/>
        </w:rPr>
        <w:t>中小学心理健康教育</w:t>
      </w:r>
    </w:p>
    <w:p w:rsidR="00BD46BC" w:rsidRDefault="00A66FFC">
      <w:pPr>
        <w:spacing w:after="0" w:line="560" w:lineRule="exact"/>
        <w:ind w:firstLineChars="200" w:firstLine="641"/>
        <w:rPr>
          <w:rFonts w:ascii="仿宋_GB2312" w:eastAsia="仿宋_GB2312"/>
          <w:bCs/>
          <w:sz w:val="32"/>
          <w:szCs w:val="32"/>
        </w:rPr>
      </w:pPr>
      <w:r>
        <w:rPr>
          <w:rFonts w:ascii="仿宋_GB2312" w:eastAsia="仿宋_GB2312"/>
          <w:b/>
          <w:bCs/>
          <w:sz w:val="32"/>
          <w:szCs w:val="32"/>
        </w:rPr>
        <w:t>5</w:t>
      </w:r>
      <w:r>
        <w:rPr>
          <w:rFonts w:ascii="仿宋_GB2312" w:eastAsia="仿宋_GB2312" w:hint="eastAsia"/>
          <w:b/>
          <w:bCs/>
          <w:sz w:val="32"/>
          <w:szCs w:val="32"/>
        </w:rPr>
        <w:t>、思想政治教育：</w:t>
      </w:r>
      <w:r>
        <w:rPr>
          <w:rFonts w:ascii="仿宋_GB2312" w:eastAsia="仿宋_GB2312" w:hint="eastAsia"/>
          <w:bCs/>
          <w:sz w:val="32"/>
          <w:szCs w:val="32"/>
        </w:rPr>
        <w:t>中小学思想政治教育、中小学</w:t>
      </w:r>
      <w:proofErr w:type="gramStart"/>
      <w:r>
        <w:rPr>
          <w:rFonts w:ascii="仿宋_GB2312" w:eastAsia="仿宋_GB2312" w:hint="eastAsia"/>
          <w:bCs/>
          <w:sz w:val="32"/>
          <w:szCs w:val="32"/>
        </w:rPr>
        <w:t>思政课</w:t>
      </w:r>
      <w:proofErr w:type="gramEnd"/>
      <w:r>
        <w:rPr>
          <w:rFonts w:ascii="仿宋_GB2312" w:eastAsia="仿宋_GB2312" w:hint="eastAsia"/>
          <w:bCs/>
          <w:sz w:val="32"/>
          <w:szCs w:val="32"/>
        </w:rPr>
        <w:t>教学、中小学班主任工作</w:t>
      </w:r>
    </w:p>
    <w:p w:rsidR="00BD46BC" w:rsidRDefault="00BD46BC">
      <w:pPr>
        <w:spacing w:after="0" w:line="560" w:lineRule="exact"/>
        <w:ind w:firstLineChars="200" w:firstLine="640"/>
        <w:rPr>
          <w:rFonts w:ascii="仿宋_GB2312" w:eastAsia="仿宋_GB2312"/>
          <w:bCs/>
          <w:sz w:val="32"/>
          <w:szCs w:val="32"/>
        </w:rPr>
      </w:pPr>
    </w:p>
    <w:p w:rsidR="00BD46BC" w:rsidRDefault="00A66FFC">
      <w:pPr>
        <w:spacing w:after="0" w:line="560" w:lineRule="exact"/>
        <w:ind w:firstLineChars="200" w:firstLine="640"/>
        <w:rPr>
          <w:rFonts w:ascii="黑体" w:eastAsia="黑体" w:hAnsi="黑体"/>
          <w:sz w:val="32"/>
          <w:szCs w:val="32"/>
        </w:rPr>
      </w:pPr>
      <w:r>
        <w:rPr>
          <w:rFonts w:ascii="黑体" w:eastAsia="黑体" w:hAnsi="黑体" w:hint="eastAsia"/>
          <w:sz w:val="32"/>
          <w:szCs w:val="32"/>
        </w:rPr>
        <w:t>三、申请条件</w:t>
      </w:r>
    </w:p>
    <w:p w:rsidR="00BD46BC" w:rsidRDefault="00A66FFC">
      <w:pPr>
        <w:suppressAutoHyphens/>
        <w:spacing w:after="0" w:line="560" w:lineRule="exact"/>
        <w:ind w:firstLineChars="200" w:firstLine="640"/>
        <w:rPr>
          <w:rFonts w:ascii="仿宋_GB2312" w:eastAsia="仿宋_GB2312"/>
          <w:sz w:val="32"/>
          <w:szCs w:val="32"/>
        </w:rPr>
      </w:pPr>
      <w:r>
        <w:rPr>
          <w:rFonts w:ascii="仿宋_GB2312" w:eastAsia="仿宋_GB2312" w:hint="eastAsia"/>
          <w:sz w:val="32"/>
          <w:szCs w:val="32"/>
        </w:rPr>
        <w:t>1、拥护中国共产党的领导，拥护《中华人民共和国宪法》，遵纪守法，品行端正。</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2、已获得学士学位并在获得学士学位后工作三年以上，或虽无学士学位但已获得硕士或博士学位者，在教学、科研、专门技术、管理等方面做出成绩。已获得的学士、硕士或博士学位为国（境）外学位的，其所获的国（境）外学位需经教育部留学服务中心认证。</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3、符合培养学院要求的其他报名条件。</w:t>
      </w:r>
    </w:p>
    <w:p w:rsidR="00BD46BC" w:rsidRDefault="00A66FFC">
      <w:pPr>
        <w:spacing w:after="0" w:line="560" w:lineRule="exact"/>
        <w:ind w:firstLineChars="200" w:firstLine="640"/>
        <w:rPr>
          <w:rFonts w:ascii="黑体" w:eastAsia="黑体" w:hAnsi="黑体"/>
          <w:sz w:val="32"/>
          <w:szCs w:val="32"/>
        </w:rPr>
      </w:pPr>
      <w:r>
        <w:rPr>
          <w:rFonts w:ascii="黑体" w:eastAsia="黑体" w:hAnsi="黑体" w:hint="eastAsia"/>
          <w:sz w:val="32"/>
          <w:szCs w:val="32"/>
        </w:rPr>
        <w:t>四、培养流程</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自申请人通过资格审查转入在册开始计算，同等学力学员总的培养时间不超过</w:t>
      </w:r>
      <w:r>
        <w:rPr>
          <w:rFonts w:ascii="仿宋_GB2312" w:eastAsia="仿宋_GB2312"/>
          <w:sz w:val="32"/>
          <w:szCs w:val="32"/>
        </w:rPr>
        <w:t>5年，分为以下两个阶段：</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（一）课程学习及全国统考</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2年内完成校内同专业全日制学术型硕士课程培养方案所规定的课程学习，并通过考试，成绩合格。课程学习形式为</w:t>
      </w:r>
      <w:r>
        <w:rPr>
          <w:rFonts w:ascii="仿宋_GB2312" w:eastAsia="仿宋_GB2312"/>
          <w:sz w:val="32"/>
          <w:szCs w:val="32"/>
        </w:rPr>
        <w:lastRenderedPageBreak/>
        <w:t>不脱产，教学采用线上线下相结合方式。</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4年内（含课程学习的2年）通过国家组织的同等学力人员外语水平和学科综合水平全国统一考试。同等学力统考每年一次，一般3月中上旬报名，5月中旬考试；学员自行在中国教育考试网报名（https://www.neea.edu.cn/），报名费自理。</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2年内未完成课程学习修满规定学分或4年内（含课程学习的2年）未通过全国统考者，不得申请学位。</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（二）学位论文写作、答辩与学位申请</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申请人应在通过全部考试后的</w:t>
      </w:r>
      <w:r>
        <w:rPr>
          <w:rFonts w:ascii="仿宋_GB2312" w:eastAsia="仿宋_GB2312"/>
          <w:sz w:val="32"/>
          <w:szCs w:val="32"/>
        </w:rPr>
        <w:t>1年内提交学位论文，论文答辩应在申请人提交论文后的半年内完成。申请学位、学位论文送审、答辩等要求按照学校相关规定执行。在规定的最长年限内通过答辩的申请人，经学院学位</w:t>
      </w:r>
      <w:proofErr w:type="gramStart"/>
      <w:r>
        <w:rPr>
          <w:rFonts w:ascii="仿宋_GB2312" w:eastAsia="仿宋_GB2312"/>
          <w:sz w:val="32"/>
          <w:szCs w:val="32"/>
        </w:rPr>
        <w:t>评定分</w:t>
      </w:r>
      <w:proofErr w:type="gramEnd"/>
      <w:r>
        <w:rPr>
          <w:rFonts w:ascii="仿宋_GB2312" w:eastAsia="仿宋_GB2312"/>
          <w:sz w:val="32"/>
          <w:szCs w:val="32"/>
        </w:rPr>
        <w:t>委员会同意，</w:t>
      </w:r>
      <w:proofErr w:type="gramStart"/>
      <w:r>
        <w:rPr>
          <w:rFonts w:ascii="仿宋_GB2312" w:eastAsia="仿宋_GB2312"/>
          <w:sz w:val="32"/>
          <w:szCs w:val="32"/>
        </w:rPr>
        <w:t>报校学位</w:t>
      </w:r>
      <w:proofErr w:type="gramEnd"/>
      <w:r>
        <w:rPr>
          <w:rFonts w:ascii="仿宋_GB2312" w:eastAsia="仿宋_GB2312"/>
          <w:sz w:val="32"/>
          <w:szCs w:val="32"/>
        </w:rPr>
        <w:t>评定委员会批准，授予其硕士学位并颁发证书。未在规定时间内按要求完成学位论文者，本次申请无效。</w:t>
      </w:r>
    </w:p>
    <w:p w:rsidR="00BD46BC" w:rsidRDefault="00A66FFC">
      <w:pPr>
        <w:spacing w:after="0" w:line="560" w:lineRule="exact"/>
        <w:ind w:firstLineChars="200" w:firstLine="640"/>
        <w:rPr>
          <w:rFonts w:ascii="黑体" w:eastAsia="黑体" w:hAnsi="黑体"/>
          <w:sz w:val="32"/>
          <w:szCs w:val="32"/>
        </w:rPr>
      </w:pPr>
      <w:r>
        <w:rPr>
          <w:rFonts w:ascii="黑体" w:eastAsia="黑体" w:hAnsi="黑体" w:hint="eastAsia"/>
          <w:sz w:val="32"/>
          <w:szCs w:val="32"/>
        </w:rPr>
        <w:t>五、收费标准</w:t>
      </w:r>
    </w:p>
    <w:p w:rsidR="00BD46BC" w:rsidRDefault="00A66FFC">
      <w:pPr>
        <w:spacing w:after="0" w:line="560" w:lineRule="exact"/>
        <w:ind w:firstLineChars="200" w:firstLine="640"/>
        <w:rPr>
          <w:rFonts w:ascii="仿宋_GB2312" w:eastAsia="仿宋_GB2312" w:hAnsi="黑体"/>
          <w:sz w:val="32"/>
          <w:szCs w:val="32"/>
        </w:rPr>
      </w:pPr>
      <w:r>
        <w:rPr>
          <w:rFonts w:ascii="仿宋_GB2312" w:eastAsia="仿宋_GB2312" w:hAnsi="黑体" w:hint="eastAsia"/>
          <w:sz w:val="32"/>
          <w:szCs w:val="32"/>
        </w:rPr>
        <w:t>同等学力申请硕士学位收费分两阶段收取，分别是：</w:t>
      </w:r>
      <w:r>
        <w:rPr>
          <w:rFonts w:ascii="仿宋_GB2312" w:eastAsia="仿宋_GB2312" w:hAnsi="黑体"/>
          <w:sz w:val="32"/>
          <w:szCs w:val="32"/>
        </w:rPr>
        <w:t>1.学校完成预报名材料，审核通过后；2.提出学位论文申请时。均由申请人本人通过学校平台在线缴纳，我校未委托任何单位或个人代收费用。</w:t>
      </w:r>
    </w:p>
    <w:p w:rsidR="00BD46BC" w:rsidRDefault="00A66FFC">
      <w:pPr>
        <w:spacing w:after="0" w:line="560" w:lineRule="exact"/>
        <w:ind w:firstLineChars="200" w:firstLine="640"/>
        <w:rPr>
          <w:rFonts w:ascii="仿宋_GB2312" w:eastAsia="仿宋_GB2312" w:hAnsi="黑体"/>
          <w:sz w:val="32"/>
          <w:szCs w:val="32"/>
        </w:rPr>
      </w:pPr>
      <w:r>
        <w:rPr>
          <w:rFonts w:ascii="仿宋_GB2312" w:eastAsia="仿宋_GB2312" w:hAnsi="黑体" w:hint="eastAsia"/>
          <w:sz w:val="32"/>
          <w:szCs w:val="32"/>
        </w:rPr>
        <w:t>其中：课程学习费：</w:t>
      </w:r>
      <w:r>
        <w:rPr>
          <w:rFonts w:ascii="仿宋_GB2312" w:eastAsia="仿宋_GB2312" w:hAnsi="黑体"/>
          <w:sz w:val="32"/>
          <w:szCs w:val="32"/>
        </w:rPr>
        <w:t>3.50万元/人</w:t>
      </w:r>
      <w:r>
        <w:rPr>
          <w:rFonts w:ascii="仿宋_GB2312" w:eastAsia="仿宋_GB2312" w:hAnsi="黑体" w:hint="eastAsia"/>
          <w:sz w:val="32"/>
          <w:szCs w:val="32"/>
        </w:rPr>
        <w:t>，论文指导费：</w:t>
      </w:r>
      <w:r>
        <w:rPr>
          <w:rFonts w:ascii="仿宋_GB2312" w:eastAsia="仿宋_GB2312" w:hAnsi="黑体"/>
          <w:sz w:val="32"/>
          <w:szCs w:val="32"/>
        </w:rPr>
        <w:t>0.80万元/人</w:t>
      </w:r>
      <w:r>
        <w:rPr>
          <w:rFonts w:ascii="仿宋_GB2312" w:eastAsia="仿宋_GB2312" w:hAnsi="黑体" w:hint="eastAsia"/>
          <w:sz w:val="32"/>
          <w:szCs w:val="32"/>
        </w:rPr>
        <w:t>。</w:t>
      </w:r>
    </w:p>
    <w:p w:rsidR="00BD46BC" w:rsidRDefault="00A66FFC">
      <w:pPr>
        <w:spacing w:after="0" w:line="560" w:lineRule="exact"/>
        <w:ind w:firstLineChars="200" w:firstLine="640"/>
        <w:rPr>
          <w:rFonts w:ascii="黑体" w:eastAsia="黑体" w:hAnsi="黑体"/>
          <w:sz w:val="32"/>
          <w:szCs w:val="32"/>
        </w:rPr>
      </w:pPr>
      <w:r>
        <w:rPr>
          <w:rFonts w:ascii="黑体" w:eastAsia="黑体" w:hAnsi="黑体" w:hint="eastAsia"/>
          <w:sz w:val="32"/>
          <w:szCs w:val="32"/>
        </w:rPr>
        <w:t>六、其他事项</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1、同等学力人员获得硕士学位，仅表明本人的学术水平已达到所获学位的水平，不涉及学历。学校</w:t>
      </w:r>
      <w:proofErr w:type="gramStart"/>
      <w:r>
        <w:rPr>
          <w:rFonts w:ascii="仿宋_GB2312" w:eastAsia="仿宋_GB2312" w:hint="eastAsia"/>
          <w:sz w:val="32"/>
          <w:szCs w:val="32"/>
        </w:rPr>
        <w:t>不</w:t>
      </w:r>
      <w:proofErr w:type="gramEnd"/>
      <w:r>
        <w:rPr>
          <w:rFonts w:ascii="仿宋_GB2312" w:eastAsia="仿宋_GB2312" w:hint="eastAsia"/>
          <w:sz w:val="32"/>
          <w:szCs w:val="32"/>
        </w:rPr>
        <w:t>出具任何有关学历的证明。</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2、申请人提交的学历证书、学位证书、论文、专著等必须真实有效，凡弄虚作假者，一经查实立即取消申请资格，已缴费用不予退还。</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3、不宜继续学习者、主动放弃学习者或规定时间内不能完成学业者，学校将取消其学习资格，所交费用不予退还。</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4、学习期间的书籍资料费、学位论文打印费、学习、参加考试和论文答辩的差旅、食宿等费用由申请人自行承担。</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5、本简章发布后，如遇国家政策调整，按最新国家政策执行。</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6、申请人通过资格审查后，在学校学习过程中，需遵守学校相关的规章制度。</w:t>
      </w:r>
    </w:p>
    <w:p w:rsidR="00BD46BC" w:rsidRDefault="00A66FFC">
      <w:pPr>
        <w:spacing w:after="0" w:line="560" w:lineRule="exact"/>
        <w:ind w:firstLineChars="200" w:firstLine="640"/>
        <w:rPr>
          <w:rFonts w:ascii="仿宋_GB2312" w:eastAsia="仿宋_GB2312"/>
          <w:sz w:val="32"/>
          <w:szCs w:val="32"/>
        </w:rPr>
      </w:pPr>
      <w:r>
        <w:rPr>
          <w:rFonts w:ascii="仿宋_GB2312" w:eastAsia="仿宋_GB2312" w:hint="eastAsia"/>
          <w:sz w:val="32"/>
          <w:szCs w:val="32"/>
        </w:rPr>
        <w:t>7、申请人向我校提交硕士学位申请时，不得向其他学位授予单位提出硕士学位申请，一经发现，我校有权取消其申请资格，已通过的成绩和考核不予认定。</w:t>
      </w:r>
    </w:p>
    <w:p w:rsidR="00BD46BC" w:rsidRDefault="00BD46BC">
      <w:pPr>
        <w:spacing w:after="0" w:line="560" w:lineRule="exact"/>
        <w:rPr>
          <w:rFonts w:ascii="仿宋_GB2312" w:eastAsia="仿宋_GB2312"/>
          <w:sz w:val="32"/>
          <w:szCs w:val="32"/>
        </w:rPr>
      </w:pPr>
    </w:p>
    <w:p w:rsidR="00BD46BC" w:rsidRDefault="00BD46BC">
      <w:pPr>
        <w:spacing w:after="0" w:line="560" w:lineRule="exact"/>
        <w:ind w:firstLineChars="200" w:firstLine="640"/>
        <w:rPr>
          <w:rFonts w:ascii="仿宋_GB2312" w:eastAsia="仿宋_GB2312"/>
          <w:sz w:val="32"/>
          <w:szCs w:val="32"/>
        </w:rPr>
      </w:pPr>
    </w:p>
    <w:p w:rsidR="00BD46BC" w:rsidRDefault="00A66FFC">
      <w:pPr>
        <w:spacing w:after="0" w:line="560" w:lineRule="exact"/>
        <w:jc w:val="right"/>
        <w:rPr>
          <w:rFonts w:ascii="仿宋_GB2312" w:eastAsia="仿宋_GB2312"/>
          <w:sz w:val="32"/>
          <w:szCs w:val="32"/>
        </w:rPr>
      </w:pPr>
      <w:r>
        <w:rPr>
          <w:rFonts w:ascii="仿宋_GB2312" w:eastAsia="仿宋_GB2312" w:hint="eastAsia"/>
          <w:sz w:val="32"/>
          <w:szCs w:val="32"/>
        </w:rPr>
        <w:t>上海师范大学教师继续教育学院</w:t>
      </w:r>
    </w:p>
    <w:p w:rsidR="00BD46BC" w:rsidRDefault="00BD46BC">
      <w:pPr>
        <w:spacing w:after="0" w:line="560" w:lineRule="exact"/>
        <w:ind w:firstLineChars="200" w:firstLine="640"/>
        <w:jc w:val="right"/>
        <w:rPr>
          <w:rFonts w:ascii="仿宋_GB2312" w:eastAsia="仿宋_GB2312"/>
          <w:sz w:val="32"/>
          <w:szCs w:val="32"/>
        </w:rPr>
      </w:pPr>
    </w:p>
    <w:sectPr w:rsidR="00BD46BC">
      <w:footerReference w:type="even" r:id="rId6"/>
      <w:footerReference w:type="default" r:id="rId7"/>
      <w:pgSz w:w="11906" w:h="16838"/>
      <w:pgMar w:top="2098" w:right="1474" w:bottom="170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817" w:rsidRDefault="002F3817">
      <w:pPr>
        <w:spacing w:line="240" w:lineRule="auto"/>
      </w:pPr>
      <w:r>
        <w:separator/>
      </w:r>
    </w:p>
  </w:endnote>
  <w:endnote w:type="continuationSeparator" w:id="0">
    <w:p w:rsidR="002F3817" w:rsidRDefault="002F38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1" w:subsetted="1" w:fontKey="{997CA5EC-D69A-4A96-B37B-73BFF6FCB451}"/>
  </w:font>
  <w:font w:name="方正小标宋简体">
    <w:charset w:val="86"/>
    <w:family w:val="script"/>
    <w:pitch w:val="fixed"/>
    <w:sig w:usb0="00000001" w:usb1="080E0000" w:usb2="00000010" w:usb3="00000000" w:csb0="00040000" w:csb1="00000000"/>
    <w:embedRegular r:id="rId2" w:subsetted="1" w:fontKey="{92EA59DD-2985-4DB9-B459-A52A5BA5348F}"/>
  </w:font>
  <w:font w:name="仿宋_GB2312">
    <w:charset w:val="86"/>
    <w:family w:val="modern"/>
    <w:pitch w:val="fixed"/>
    <w:sig w:usb0="00000001" w:usb1="080E0000" w:usb2="00000010" w:usb3="00000000" w:csb0="00040000" w:csb1="00000000"/>
    <w:embedRegular r:id="rId3" w:subsetted="1" w:fontKey="{A788E362-92C7-493A-B22A-4EBD06351E56}"/>
    <w:embedBold r:id="rId4" w:subsetted="1" w:fontKey="{4537295A-2A0A-4C81-B84F-0601530F1FF9}"/>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6BC" w:rsidRDefault="00A66FFC">
    <w:pPr>
      <w:pStyle w:val="a3"/>
      <w:rPr>
        <w:rFonts w:ascii="宋体" w:eastAsia="宋体" w:hAnsi="宋体"/>
        <w:sz w:val="28"/>
        <w:szCs w:val="28"/>
      </w:rPr>
    </w:pPr>
    <w:r>
      <w:rPr>
        <w:rFonts w:ascii="宋体" w:eastAsia="宋体" w:hAnsi="宋体" w:hint="eastAsia"/>
        <w:sz w:val="28"/>
        <w:szCs w:val="28"/>
      </w:rPr>
      <w:t>—</w:t>
    </w:r>
    <w:sdt>
      <w:sdtPr>
        <w:rPr>
          <w:rFonts w:ascii="宋体" w:eastAsia="宋体" w:hAnsi="宋体"/>
          <w:sz w:val="28"/>
          <w:szCs w:val="28"/>
        </w:rPr>
        <w:id w:val="-795368825"/>
        <w:docPartObj>
          <w:docPartGallery w:val="AutoText"/>
        </w:docPartObj>
      </w:sdtPr>
      <w:sdtEndPr/>
      <w:sdtContent>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9E179B" w:rsidRPr="009E179B">
          <w:rPr>
            <w:rFonts w:ascii="宋体" w:eastAsia="宋体" w:hAnsi="宋体"/>
            <w:noProof/>
            <w:sz w:val="28"/>
            <w:szCs w:val="28"/>
            <w:lang w:val="zh-CN"/>
          </w:rPr>
          <w:t>4</w:t>
        </w:r>
        <w:r>
          <w:rPr>
            <w:rFonts w:ascii="宋体" w:eastAsia="宋体" w:hAnsi="宋体"/>
            <w:sz w:val="28"/>
            <w:szCs w:val="28"/>
          </w:rPr>
          <w:fldChar w:fldCharType="end"/>
        </w:r>
        <w:r>
          <w:rPr>
            <w:rFonts w:ascii="宋体" w:eastAsia="宋体" w:hAnsi="宋体" w:hint="eastAsia"/>
            <w:sz w:val="28"/>
            <w:szCs w:val="28"/>
          </w:rPr>
          <w:t>—</w:t>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6BC" w:rsidRDefault="00A66FFC">
    <w:pPr>
      <w:pStyle w:val="a3"/>
      <w:jc w:val="right"/>
      <w:rPr>
        <w:rFonts w:ascii="宋体" w:eastAsia="宋体" w:hAnsi="宋体"/>
        <w:sz w:val="28"/>
        <w:szCs w:val="28"/>
      </w:rPr>
    </w:pPr>
    <w:r>
      <w:rPr>
        <w:rFonts w:ascii="宋体" w:eastAsia="宋体" w:hAnsi="宋体" w:hint="eastAsia"/>
        <w:sz w:val="28"/>
        <w:szCs w:val="28"/>
      </w:rPr>
      <w:t>—</w:t>
    </w:r>
    <w:sdt>
      <w:sdtPr>
        <w:rPr>
          <w:rFonts w:ascii="宋体" w:eastAsia="宋体" w:hAnsi="宋体"/>
          <w:sz w:val="28"/>
          <w:szCs w:val="28"/>
        </w:rPr>
        <w:id w:val="1475718285"/>
        <w:docPartObj>
          <w:docPartGallery w:val="AutoText"/>
        </w:docPartObj>
      </w:sdtPr>
      <w:sdtEndPr/>
      <w:sdtContent>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9E179B" w:rsidRPr="009E179B">
          <w:rPr>
            <w:rFonts w:ascii="宋体" w:eastAsia="宋体" w:hAnsi="宋体"/>
            <w:noProof/>
            <w:sz w:val="28"/>
            <w:szCs w:val="28"/>
            <w:lang w:val="zh-CN"/>
          </w:rPr>
          <w:t>3</w:t>
        </w:r>
        <w:r>
          <w:rPr>
            <w:rFonts w:ascii="宋体" w:eastAsia="宋体" w:hAnsi="宋体"/>
            <w:sz w:val="28"/>
            <w:szCs w:val="28"/>
          </w:rPr>
          <w:fldChar w:fldCharType="end"/>
        </w:r>
        <w:r>
          <w:rPr>
            <w:rFonts w:ascii="宋体" w:eastAsia="宋体" w:hAnsi="宋体" w:hint="eastAsia"/>
            <w:sz w:val="28"/>
            <w:szCs w:val="28"/>
          </w:rPr>
          <w:t>—</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817" w:rsidRDefault="002F3817">
      <w:pPr>
        <w:spacing w:after="0"/>
      </w:pPr>
      <w:r>
        <w:separator/>
      </w:r>
    </w:p>
  </w:footnote>
  <w:footnote w:type="continuationSeparator" w:id="0">
    <w:p w:rsidR="002F3817" w:rsidRDefault="002F381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bordersDoNotSurroundHeader/>
  <w:bordersDoNotSurroundFooter/>
  <w:proofState w:spelling="clean" w:grammar="clean"/>
  <w:defaultTabStop w:val="420"/>
  <w:evenAndOddHeaders/>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D74"/>
    <w:rsid w:val="00034D74"/>
    <w:rsid w:val="00044B93"/>
    <w:rsid w:val="000C49C9"/>
    <w:rsid w:val="000C54C8"/>
    <w:rsid w:val="000C7767"/>
    <w:rsid w:val="0011031E"/>
    <w:rsid w:val="0012103B"/>
    <w:rsid w:val="001415E4"/>
    <w:rsid w:val="00145B65"/>
    <w:rsid w:val="00151C65"/>
    <w:rsid w:val="00165C2C"/>
    <w:rsid w:val="0016704D"/>
    <w:rsid w:val="00176CA2"/>
    <w:rsid w:val="00197542"/>
    <w:rsid w:val="001A6E9B"/>
    <w:rsid w:val="001A78AB"/>
    <w:rsid w:val="001D6F0C"/>
    <w:rsid w:val="001F4AED"/>
    <w:rsid w:val="002500B4"/>
    <w:rsid w:val="002F1C05"/>
    <w:rsid w:val="002F3817"/>
    <w:rsid w:val="00304DFF"/>
    <w:rsid w:val="003239E9"/>
    <w:rsid w:val="00390E6E"/>
    <w:rsid w:val="003A5F18"/>
    <w:rsid w:val="0043254D"/>
    <w:rsid w:val="004A322E"/>
    <w:rsid w:val="00574179"/>
    <w:rsid w:val="00656D84"/>
    <w:rsid w:val="00660299"/>
    <w:rsid w:val="006C3B35"/>
    <w:rsid w:val="00756511"/>
    <w:rsid w:val="007679F0"/>
    <w:rsid w:val="00773666"/>
    <w:rsid w:val="007A26DC"/>
    <w:rsid w:val="0082616B"/>
    <w:rsid w:val="00834BD4"/>
    <w:rsid w:val="00863769"/>
    <w:rsid w:val="00865E0C"/>
    <w:rsid w:val="008941D8"/>
    <w:rsid w:val="00894CA2"/>
    <w:rsid w:val="008C1EFA"/>
    <w:rsid w:val="008F24F0"/>
    <w:rsid w:val="0092638C"/>
    <w:rsid w:val="00970610"/>
    <w:rsid w:val="009E179B"/>
    <w:rsid w:val="00A005CC"/>
    <w:rsid w:val="00A66FFC"/>
    <w:rsid w:val="00AA5CD6"/>
    <w:rsid w:val="00AD5DB7"/>
    <w:rsid w:val="00AF2B2C"/>
    <w:rsid w:val="00AF45BC"/>
    <w:rsid w:val="00B00FE6"/>
    <w:rsid w:val="00B0159D"/>
    <w:rsid w:val="00B3130C"/>
    <w:rsid w:val="00B71074"/>
    <w:rsid w:val="00BD46BC"/>
    <w:rsid w:val="00BF6CE7"/>
    <w:rsid w:val="00C35BDA"/>
    <w:rsid w:val="00C8060F"/>
    <w:rsid w:val="00C83CCF"/>
    <w:rsid w:val="00C85023"/>
    <w:rsid w:val="00C8682F"/>
    <w:rsid w:val="00C87DBC"/>
    <w:rsid w:val="00CA349E"/>
    <w:rsid w:val="00CA3568"/>
    <w:rsid w:val="00CB3193"/>
    <w:rsid w:val="00D3202E"/>
    <w:rsid w:val="00D33F80"/>
    <w:rsid w:val="00DB3396"/>
    <w:rsid w:val="00DC0F49"/>
    <w:rsid w:val="00E004F2"/>
    <w:rsid w:val="00E16B97"/>
    <w:rsid w:val="00E70633"/>
    <w:rsid w:val="00EA28D1"/>
    <w:rsid w:val="00EE372C"/>
    <w:rsid w:val="00F20E58"/>
    <w:rsid w:val="00F52478"/>
    <w:rsid w:val="00F849D3"/>
    <w:rsid w:val="00FA381E"/>
    <w:rsid w:val="00FB541C"/>
    <w:rsid w:val="6F4A51F1"/>
    <w:rsid w:val="70A36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5CB25D4-E538-4A2E-8B7F-3A2E7EFD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a6">
    <w:name w:val="Subtitle"/>
    <w:basedOn w:val="a"/>
    <w:next w:val="a"/>
    <w:link w:val="a7"/>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a9"/>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a">
    <w:name w:val="Hyperlink"/>
    <w:basedOn w:val="a0"/>
    <w:uiPriority w:val="99"/>
    <w:unhideWhenUsed/>
    <w:rPr>
      <w:color w:val="467886" w:themeColor="hyperlink"/>
      <w:u w:val="single"/>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9">
    <w:name w:val="标题 字符"/>
    <w:basedOn w:val="a0"/>
    <w:link w:val="a8"/>
    <w:uiPriority w:val="10"/>
    <w:qFormat/>
    <w:rPr>
      <w:rFonts w:asciiTheme="majorHAnsi" w:eastAsiaTheme="majorEastAsia" w:hAnsiTheme="majorHAnsi" w:cstheme="majorBidi"/>
      <w:spacing w:val="-10"/>
      <w:kern w:val="28"/>
      <w:sz w:val="56"/>
      <w:szCs w:val="56"/>
    </w:rPr>
  </w:style>
  <w:style w:type="character" w:customStyle="1" w:styleId="a7">
    <w:name w:val="副标题 字符"/>
    <w:basedOn w:val="a0"/>
    <w:link w:val="a6"/>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rPr>
      <w:color w:val="605E5C"/>
      <w:shd w:val="clear" w:color="auto" w:fill="E1DFDD"/>
    </w:rPr>
  </w:style>
  <w:style w:type="character" w:customStyle="1" w:styleId="a4">
    <w:name w:val="页脚 字符"/>
    <w:basedOn w:val="a0"/>
    <w:link w:val="a3"/>
    <w:uiPriority w:val="99"/>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 I</dc:creator>
  <cp:lastModifiedBy>Administrator</cp:lastModifiedBy>
  <cp:revision>5</cp:revision>
  <cp:lastPrinted>2025-12-29T02:19:00Z</cp:lastPrinted>
  <dcterms:created xsi:type="dcterms:W3CDTF">2026-11-03T05:51:00Z</dcterms:created>
  <dcterms:modified xsi:type="dcterms:W3CDTF">2026-11-04T02:45:00Z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eyJoZGlkIjoiMDk5MjI3ZTBkMWY2ZTdkM2M1MTFmMjFjZjQ3ZWI0NjYiLCJ1c2VySWQiOiI2MjI1NzA1MDgifQ==</vt:lpwstr>
  </property>
  <property fmtid="{D5CDD505-2E9C-101B-9397-08002B2CF9AE}" pid="3" name="KSOProductBuildVer">
    <vt:lpwstr>2052-12.1.0.29161</vt:lpwstr>
  </property>
  <property fmtid="{D5CDD505-2E9C-101B-9397-08002B2CF9AE}" pid="4" name="ICV">
    <vt:lpwstr>5C81CC9B233D4F0392D6438B9CE531B2_13</vt:lpwstr>
  </property>
</Properties>
</file>